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SWGKostenV (Brandenburg) — Evaluierung des Erstattungsverfahrens</w:t>
      </w:r>
    </w:p>
    <w:p>
      <w:r>
        <w:rPr>
          <w:color w:val="555555"/>
          <w:sz w:val="18"/>
        </w:rPr>
        <w:t xml:space="preserve">SWG-Kostenerstattungsverordnung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getroffenen Regelungen sollen im Anschluss an die ersten beiden vollständigen Haushaltsjahre nach Inkrafttreten dieser Verordnung evaluiert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SWGKostenV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https://recht.nulegal.eu/gesetze/SWGKostenV/4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