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SWG (Brandenburg) — Kultur</w:t>
      </w:r>
    </w:p>
    <w:p>
      <w:r>
        <w:rPr>
          <w:color w:val="555555"/>
          <w:sz w:val="18"/>
        </w:rPr>
        <w:t xml:space="preserve">Sorben/Wenden-Gesetz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Land Brandenburg schützt und fördert die sorbische/wendische Kultur. Die Verpflichtung zur Förderung der sorbischen/wendischen Kultur erfüllt das Land insbesondere durch seine Beteiligung an der Stiftung für das sorbische Volk.</w:t>
      </w:r>
    </w:p>
    <w:p>
      <w:r>
        <w:t xml:space="preserve">(2) Die Gemeinden und Gemeindeverbände im angestammten Siedlungsgebiet beziehen sorbische/wendische Kultur angemessen in ihre Kulturarbeit ein. Sie fördern sorbische/wendische Kunst und Bräuche sowie ein von Tradition, Toleranz und gegenseitiger Achtung geprägtes Zusammenleben ihrer Einwohnerinnen und Einwohner.</w:t>
      </w:r>
    </w:p>
    <w:p>
      <w:r>
        <w:rPr>
          <w:color w:val="555555"/>
          <w:sz w:val="17"/>
        </w:rPr>
        <w:t xml:space="preserve">Zitiervorschlag: § 7 SWG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https://recht.nulegal.eu/gesetze/SWG/7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