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5b SWG (Brandenburg) — Bericht der Landesregierung</w:t>
      </w:r>
    </w:p>
    <w:p>
      <w:r>
        <w:rPr>
          <w:color w:val="555555"/>
          <w:sz w:val="18"/>
        </w:rPr>
        <w:t xml:space="preserve">Sorben/Wenden-Gesetz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Die Landesregierung erstattet dem Landtag zur Mitte der Wahlperiode Bericht zur Lage des sorbischen/wendischen Volkes im Land unter Berücksichtigung der internationalen Verpflichtungen zum Schutz der sorbischen/wendischen Sprache und Kultur. Der Bericht beinhaltet eine Bestandsaufnahme, analysiert die Wirksamkeit der Förderung sorbischer/wendischer Sprache und Kultur und trifft Aussagen zu Vorhaben der Landesregierung.</w:t>
      </w:r>
    </w:p>
    <w:p>
      <w:r>
        <w:rPr>
          <w:color w:val="555555"/>
          <w:sz w:val="17"/>
        </w:rPr>
        <w:t xml:space="preserve">Zitiervorschlag: § 5b SWG (Brandenburg)</w:t>
      </w:r>
    </w:p>
    <w:p>
      <w:r>
        <w:rPr>
          <w:color w:val="555555"/>
          <w:sz w:val="17"/>
        </w:rPr>
        <w:t xml:space="preserve">Quelle: bravors, abgerufen 30.07.2026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https://recht.nulegal.eu/gesetze/SWG/5b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