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SWG (Brandenburg) — Medien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Programm der öffentlich-rechtlichen Medien sind der sorbischen/wendischen Kultur und Sprache angemessen Rechnung zu tragen.</w:t>
      </w:r>
    </w:p>
    <w:p>
      <w:r>
        <w:t xml:space="preserve">(2) Das Land Brandenburg wirkt darauf hin, daß die sorbische/wendische Kultur und Sprache auch in privaten Medien Berücksichtigung finden.</w:t>
      </w:r>
    </w:p>
    <w:p>
      <w:r>
        <w:rPr>
          <w:color w:val="555555"/>
          <w:sz w:val="17"/>
        </w:rPr>
        <w:t xml:space="preserve">Zitiervorschlag: § 12 SWG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