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SWG (Brandenburg) — Zweisprachige Beschriftung im angestammten Siedlungsgebiet</w:t>
      </w:r>
    </w:p>
    <w:p>
      <w:r>
        <w:rPr>
          <w:color w:val="555555"/>
          <w:sz w:val="18"/>
        </w:rPr>
        <w:t xml:space="preserve">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Öffentliche Gebäude und Einrichtungen, Straßen, Wege, Plätze, Brücken und Ortstafeln im angestammten Siedlungsgebiet sowie Hinweisschilder hierauf sind in deutscher und niedersorbischer Sprache zu kennzeichnen.</w:t>
      </w:r>
    </w:p>
    <w:p>
      <w:r>
        <w:t xml:space="preserve">(2) Das Land Brandenburg wirkt darauf hin, dass auch andere Gebäude im angestammten Siedlungsgebiet in deutscher und niedersorbischer Sprache beschriftet werden, sofern diese für die Öffentlichkeit Bedeutung haben.</w:t>
      </w:r>
    </w:p>
    <w:p>
      <w:r>
        <w:rPr>
          <w:color w:val="555555"/>
          <w:sz w:val="17"/>
        </w:rPr>
        <w:t xml:space="preserve">Zitiervorschlag: § 11 SWG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