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SVwKollegG (Bayern)</w:t>
      </w:r>
    </w:p>
    <w:p>
      <w:r>
        <w:rPr>
          <w:color w:val="555555"/>
          <w:sz w:val="18"/>
        </w:rPr>
        <w:t xml:space="preserve">Gesetz über das Bayerische Selbstverwaltungskolleg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gerichtliche und außergerichtliche Vertretung des Bayerischen Selbstverwaltungskollegs obliegt dem Vorsitzenden des Verwaltungsrats und dem Geschäftsführer, soweit ihm durch die Satzung einzelne Befugnisse übertragen werden.</w:t>
      </w:r>
    </w:p>
    <w:p>
      <w:r>
        <w:t xml:space="preserve">(2) Der Geschäftsführer wird vom Verwaltungsrat bestellt und abberufen; er ist gleichzeitig Leiter des Bayerischen Selbstverwaltungskollegs.</w:t>
      </w:r>
    </w:p>
    <w:p>
      <w:r>
        <w:rPr>
          <w:color w:val="555555"/>
          <w:sz w:val="17"/>
        </w:rPr>
        <w:t xml:space="preserve">Zitiervorschlag: Art 6 SVwKollegG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https://recht.nulegal.eu/gesetze/SVwKollegG/6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