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SVwKollegG (Bayern)</w:t>
      </w:r>
    </w:p>
    <w:p>
      <w:r>
        <w:rPr>
          <w:color w:val="555555"/>
          <w:sz w:val="18"/>
        </w:rPr>
        <w:t xml:space="preserve">Gesetz über das Bayerische Selbstverwaltungskolleg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Eine Satzung, die vom Verwaltungsrat mit Zustimmung des Staatsministeriums des Innern, für Sport und Integration erlassen wird, regelt Verfassung, Verwaltung, Kurstätigkeit, Haushalts-, Kassen- und Rechnungswesen des Bayerischen Selbstverwaltungskollegs im einzelnen.</w:t>
      </w:r>
    </w:p>
    <w:p>
      <w:r>
        <w:rPr>
          <w:color w:val="555555"/>
          <w:sz w:val="17"/>
        </w:rPr>
        <w:t xml:space="preserve">Zitiervorschlag: Art 3 SVwKollegG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https://recht.nulegal.eu/gesetze/SVwKollegG/3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