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18 SVwHKVorRV — Private Erwerbstätigkeit</w:t>
      </w:r>
    </w:p>
    <w:p>
      <w:r>
        <w:rPr>
          <w:color w:val="555555"/>
          <w:sz w:val="18"/>
        </w:rPr>
        <w:t xml:space="preserve">Verordnung über die Gewährung von Vorrechten und Befreiungen an das Wirtschafts- und Handelsbüro der Sonderverwaltungsregion Hongkong der Volksrepublik China in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entsandten Mitarbeiter des Büros dürfen in der Bundesrepublik Deutschland keinen freien Beruf und keine gewerbliche Tätigkeit ausüben, die auf persönlichen Gewinn gerichtet ist.</w:t>
      </w:r>
    </w:p>
    <w:p>
      <w:r>
        <w:t xml:space="preserve">(2) Üben Familienangehörige von entsandten Mitarbeitern des Büros in der Bundesrepublik Deutschland eine Erwerbstätigkeit aus, werden ihnen die in dieser Verordnung vorgesehenen Vorrechte und Immunitäten nicht gewährt.</w:t>
      </w:r>
    </w:p>
    <w:p>
      <w:r>
        <w:rPr>
          <w:color w:val="555555"/>
          <w:sz w:val="17"/>
        </w:rPr>
        <w:t xml:space="preserve">Zitiervorschlag: Art 18 SVwHKVorRV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https://recht.nulegal.eu/gesetze/SVwHKVorRV/18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18 SVwHKVorRV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