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SVorgesV</w:t>
      </w:r>
    </w:p>
    <w:p>
      <w:r>
        <w:rPr>
          <w:color w:val="555555"/>
          <w:sz w:val="18"/>
        </w:rPr>
        <w:t xml:space="preserve">Vorgesetztenverordnung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4 in Verbindung mit § 72 Abs. 2 des Soldatengesetzes vom 19. März 1956 (Bundesgesetzbl. I S. 114) wird verordnet:</w:t>
      </w:r>
    </w:p>
    <w:p>
      <w:r>
        <w:rPr>
          <w:color w:val="555555"/>
          <w:sz w:val="17"/>
        </w:rPr>
        <w:t xml:space="preserve">Zitiervorschlag: Eingangsformel SVorgesV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https://recht.nulegal.eu/gesetze/SVorgesV/eingangsformel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