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SVorgesV</w:t>
      </w:r>
    </w:p>
    <w:p>
      <w:r>
        <w:rPr>
          <w:color w:val="555555"/>
          <w:sz w:val="18"/>
        </w:rPr>
        <w:t xml:space="preserve">Vorgesetztenverordnung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Kompanien und in den entsprechenden Einheiten sowie innerhalb der Besatzung eines Schiffes steht die Befugnis, im Dienst Befehle zu erteilen, zu</w:t>
      </w:r>
    </w:p>
    <w:p>
      <w:pPr>
        <w:ind w:left="420"/>
      </w:pPr>
      <w:r>
        <w:t xml:space="preserve">1. den Offizieren gegenüber allen Unteroffizieren und Mannschaften,</w:t>
      </w:r>
    </w:p>
    <w:p>
      <w:pPr>
        <w:ind w:left="420"/>
      </w:pPr>
      <w:r>
        <w:t xml:space="preserve">2. den Unteroffizieren vom Feldwebel an aufwärts gegenüber allen Stabsunteroffizieren, Unteroffizieren und Mannschaften,</w:t>
      </w:r>
    </w:p>
    <w:p>
      <w:pPr>
        <w:ind w:left="420"/>
      </w:pPr>
      <w:r>
        <w:t xml:space="preserve">3. den Stabsunteroffizieren und den Unteroffizieren gegenüber allen Mannschaften.</w:t>
      </w:r>
    </w:p>
    <w:p>
      <w:r>
        <w:t xml:space="preserve">An Bord von Schiffen haben die Angehörigen der Besatzung und deren unmittelbare Vorgesetzte in und außer Dienst Befehlsbefugnis nach Satz 1 auch gegenüber Soldaten, die sich nicht im Dienst befinden oder nicht zu bestimmtem Dienst eingeteilt sind, und gegenüber Soldaten, die nicht zur Besatzung gehören.</w:t>
      </w:r>
    </w:p>
    <w:p>
      <w:r>
        <w:t xml:space="preserve">(2) In Stäben und anderen militärischen Dienststellen gilt Absatz 1 Satz 1 entsprechend, jedoch kann der Kommandeur oder der Leiter der Dienststelle die Befehlsbefugnis auf Untergliederungen des Stabes oder der Dienststelle beschränken.</w:t>
      </w:r>
    </w:p>
    <w:p>
      <w:r>
        <w:t xml:space="preserve">(3) Innerhalb umschlossener militärischer Anlagen können Soldaten einer höheren Dienstgradgruppe den Soldaten einer niedrigeren Dienstgradgruppe in und außer Dienst Befehle erteilen.</w:t>
      </w:r>
    </w:p>
    <w:p>
      <w:r>
        <w:rPr>
          <w:color w:val="555555"/>
          <w:sz w:val="17"/>
        </w:rPr>
        <w:t xml:space="preserve">Zitiervorschlag: § 4 SVorgesV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https://recht.nulegal.eu/gesetze/SVorgesV/4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