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SVersLV — Ruhen der Versorgungsleistung</w:t>
      </w:r>
    </w:p>
    <w:p>
      <w:r>
        <w:rPr>
          <w:color w:val="555555"/>
          <w:sz w:val="18"/>
        </w:rPr>
        <w:t xml:space="preserve">Sonderversorgungsleistungsverordnung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Versorgungsleistung ruht in Höhe des Betrages, um den das anrechenbare Einkommen den Anrechnungsfreibetrag übersteigt. Die Anrechnung von Einkommen hat Vorrang vor einer Anrechnung von Renten wegen verminderter Erwerbsfähigkeit nach § 11 Abs. 1 Satz 2 des Anspruchs- und Anwartschaftsüberführungsgesetzes.</w:t>
      </w:r>
    </w:p>
    <w:p>
      <w:r>
        <w:rPr>
          <w:color w:val="555555"/>
          <w:sz w:val="17"/>
        </w:rPr>
        <w:t xml:space="preserve">Zitiervorschlag: § 6 SVersLV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https://recht.nulegal.eu/gesetze/SVersLV/6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