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SVersLV — Einkommensanrechnung</w:t>
      </w:r>
    </w:p>
    <w:p>
      <w:r>
        <w:rPr>
          <w:color w:val="555555"/>
          <w:sz w:val="18"/>
        </w:rPr>
        <w:t xml:space="preserve">Sonderversorgungsleistungsverordnung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Einkommen von Versorgungsempfängern wird auf Versorgungsleistungen angerechnet.</w:t>
      </w:r>
    </w:p>
    <w:p>
      <w:r>
        <w:t xml:space="preserve">(2) Einkommen sind Arbeitsentgelt, Arbeitseinkommen und vergleichbares Einkommen im Sinne der §§ 14, 15, 18a Abs. 2 des Vierten Buches Sozialgesetzbuch (Erwerbseinkommen) sowie Erwerbsersatzeinkommen im Sinne des § 18a Abs. 3 Satz 1 Nr. 1, 4 und 8 des Vierten Buches Sozialgesetzbuch und damit vergleichbares Erwerbsersatzeinkommen im Beitrittsgebiet. § 18a Abs. 3 Satz 2 und 3 des Vierten Buches Sozialgesetzbuch gilt entsprechend. Außer Betracht bleiben Entgeltersatzleistungen nach dem Dritten Buch Sozialgesetzbuch.</w:t>
      </w:r>
    </w:p>
    <w:p>
      <w:r>
        <w:rPr>
          <w:color w:val="555555"/>
          <w:sz w:val="17"/>
        </w:rPr>
        <w:t xml:space="preserve">Zitiervorschlag: § 2 SVersLV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https://recht.nulegal.eu/gesetze/SVersLV/2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