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SVersLV — Anwendungsbereich</w:t>
      </w:r>
    </w:p>
    <w:p>
      <w:r>
        <w:rPr>
          <w:color w:val="555555"/>
          <w:sz w:val="18"/>
        </w:rPr>
        <w:t xml:space="preserve">Sonderversorgungsleistungsverordnung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die nicht in die Rentenversicherung überführten Leistungen nach den Sonderversorgungssystemen der Anlage 2 des Anspruchs- und Anwartschaftsüberführungsgesetzes. Erfaßt sind die Leistungen nach § 9 Abs. 1 Nr. 1 und 2 des Anspruchs- und Anwartschaftsüberführungsgesetzes (Versorgungsleistungen) sowie Empfänger solcher Leistungen (Versorgungsempfänger).</w:t>
      </w:r>
    </w:p>
    <w:p>
      <w:r>
        <w:rPr>
          <w:color w:val="555555"/>
          <w:sz w:val="17"/>
        </w:rPr>
        <w:t xml:space="preserve">Zitiervorschlag: § 1 SVersLV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https://recht.nulegal.eu/gesetze/SVersLV/1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