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SVergV</w:t>
      </w:r>
    </w:p>
    <w:p>
      <w:r>
        <w:rPr>
          <w:color w:val="555555"/>
          <w:sz w:val="18"/>
        </w:rPr>
        <w:t xml:space="preserve">Soldatenvergütungsverordnung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Auf Grund des § 50a Satz 1 in Verbindung mit Satz 2 des Bundesbesoldungsgesetzes, der durch Artikel 1 Nummer 26 Buchstabe a des Gesetzes vom 11. Juni 2013 (BGBl. I S. 1514) neu gefasst worden ist, verordnet das Bundesministerium des Innern im Einvernehmen mit dem Bundesministerium der Verteidigung und dem Bundesministerium der Finanzen:</w:t>
      </w:r>
    </w:p>
    <w:p>
      <w:r>
        <w:rPr>
          <w:color w:val="555555"/>
          <w:sz w:val="17"/>
        </w:rPr>
        <w:t xml:space="preserve">Zitiervorschlag: Eingangsformel SVergV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