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SVergV — Inkrafttreten, Außerkrafttreten</w:t>
      </w:r>
    </w:p>
    <w:p>
      <w:r>
        <w:rPr>
          <w:color w:val="555555"/>
          <w:sz w:val="18"/>
        </w:rPr>
        <w:t xml:space="preserve">Soldatenvergütungsverordnung</w:t>
      </w:r>
    </w:p>
    <w:p>
      <w:r>
        <w:rPr>
          <w:color w:val="555555"/>
          <w:sz w:val="18"/>
        </w:rPr>
        <w:t xml:space="preserve">Historische Fassung: Stand 10.06.2019 bis 10.01.2020. Dies ist nicht die aktuelle Fassung.</w:t>
      </w:r>
    </w:p>
    <w:p>
      <w:r>
        <w:t xml:space="preserve">Diese Verordnung tritt mit Wirkung vom 1. Juli 2012 in Kraft. Gleichzeitig tritt die Verordnung über die Vergütung für Soldaten mit besonderer zeitlicher Belastung vom 2. Juni 1989 (BGBl. I S. 1075), die zuletzt durch Artikel 9 Absatz 3 des Gesetzes vom 11. Juni 2013 (BGBl. I S. 1514) geändert worden ist, außer Kraft.</w:t>
      </w:r>
    </w:p>
    <w:p>
      <w:r>
        <w:rPr>
          <w:color w:val="555555"/>
          <w:sz w:val="17"/>
        </w:rPr>
        <w:t xml:space="preserve">Zitiervorschlag: § 4 SVergV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https://recht.nulegal.eu/gesetze/SVergV/4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