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SVZustAnO</w:t>
      </w:r>
    </w:p>
    <w:p>
      <w:r>
        <w:rPr>
          <w:color w:val="555555"/>
          <w:sz w:val="18"/>
        </w:rPr>
        <w:t xml:space="preserve">Soldatenversorgungs-Zuständigkeitsübertragungsanordnung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Nach § 46 Absatz 1 Satz 3 und 4 des Soldatenversorgungsgesetzes, der durch Artikel 2 Nummer 22 des Gesetzes vom 20. August 2021 (BGBl. I S. 3932) geändert worden ist, ordnet das Bundesministerium der Verteidigung im Einvernehmen mit dem Bundesministerium des Innern, für Bau und Heimat und dem Bundesministerium der Finanzen an:</w:t>
      </w:r>
    </w:p>
    <w:p>
      <w:r>
        <w:rPr>
          <w:color w:val="555555"/>
          <w:sz w:val="17"/>
        </w:rPr>
        <w:t xml:space="preserve">Zitiervorschlag: Eingangsformel 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