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SVZustÜV — Übertragung von Zuständigkeiten auf das Bundesamt für das Personalmanagement der Bundeswehr</w:t>
      </w:r>
    </w:p>
    <w:p>
      <w:r>
        <w:rPr>
          <w:color w:val="555555"/>
          <w:sz w:val="18"/>
        </w:rPr>
        <w:t xml:space="preserve">Soldatenversorgungs-Zuständigkeitsübertragungsverordnung</w:t>
      </w:r>
    </w:p>
    <w:p>
      <w:r>
        <w:rPr>
          <w:color w:val="555555"/>
          <w:sz w:val="18"/>
        </w:rPr>
        <w:t xml:space="preserve">Historische Fassung: Stand 10.06.2019 bis 12.10.2021. Dies ist nicht die aktuelle Fassung.</w:t>
      </w:r>
    </w:p>
    <w:p>
      <w:r>
        <w:t xml:space="preserve">Dem Bundesamt für das Personalmanagement der Bundeswehr werden übertragen:</w:t>
      </w:r>
    </w:p>
    <w:p>
      <w:pPr>
        <w:ind w:left="420"/>
      </w:pPr>
      <w:r>
        <w:t xml:space="preserve">1. die Erstattung der Ausgleichsbezüge nach § 11a des Soldatenversorgungsgesetzes in Verbindung mit § 98 Absatz 2 des Soldatenversorgungsgesetzes,</w:t>
      </w:r>
    </w:p>
    <w:p>
      <w:pPr>
        <w:ind w:left="420"/>
      </w:pPr>
      <w:r>
        <w:t xml:space="preserve">2. die Feststellung der ruhegehaltfähigen Dienstzeit nach den §§ 20, 24a, 24b, 25 Absatz 2 des Soldatenversorgungsgesetzes und den §§ 64 bis 69 des Soldatenversorgungsgesetzes sowie nach § 3 der Soldatenversorgungs-Übergangsverordnung,</w:t>
      </w:r>
    </w:p>
    <w:p>
      <w:pPr>
        <w:ind w:left="420"/>
      </w:pPr>
      <w:r>
        <w:t xml:space="preserve">3. die Entscheidung, ob die Voraussetzungen für die Gewährung von Unfallruhegehalt nach den §§ 27 und 63d des Soldatenversorgungsgesetzes vorliegen,</w:t>
      </w:r>
    </w:p>
    <w:p>
      <w:pPr>
        <w:ind w:left="420"/>
      </w:pPr>
      <w:r>
        <w:t xml:space="preserve">4. die Berufsförderung nach den §§ 39 und 40 des Soldatenversorgungsgesetzes,</w:t>
      </w:r>
    </w:p>
    <w:p>
      <w:pPr>
        <w:ind w:left="420"/>
      </w:pPr>
      <w:r>
        <w:t xml:space="preserve">5. die Entscheidung nach § 46 Absatz 2 Satz 2 des Soldatenversorgungsgesetzes über die Berücksichtigung von Zeiten nach den §§ 22 bis 24 des Soldatenversorgungsgesetzes als ruhegehaltfähige Dienstzeit,</w:t>
      </w:r>
    </w:p>
    <w:p>
      <w:pPr>
        <w:ind w:left="420"/>
      </w:pPr>
      <w:r>
        <w:t xml:space="preserve">6. die Entscheidung über die Bewilligung der Umzugskostenvergütung nach § 62 des Soldatenversorgungsgesetzes,</w:t>
      </w:r>
    </w:p>
    <w:p>
      <w:pPr>
        <w:ind w:left="420"/>
      </w:pPr>
      <w:r>
        <w:t xml:space="preserve">7. die Entscheidung über den Schadensausgleich in besonderen Fällen nach § 63b des Soldatenversorgungsgesetzes,</w:t>
      </w:r>
    </w:p>
    <w:p>
      <w:pPr>
        <w:ind w:left="420"/>
      </w:pPr>
      <w:r>
        <w:t xml:space="preserve">8. die Entscheidung, ob ein Einsatzunfall nach § 63c Absatz 2 des Soldatenversorgungsgesetzes vorliegt, und</w:t>
      </w:r>
    </w:p>
    <w:p>
      <w:pPr>
        <w:ind w:left="420"/>
      </w:pPr>
      <w:r>
        <w:t xml:space="preserve">9. die Ausgleichszahlung nach § 63f des Soldatenversorgungsgesetzes, wenn nicht ein Einsatzunfall eines Soldaten auf Zeit vorliegt.</w:t>
      </w:r>
    </w:p>
    <w:p>
      <w:r>
        <w:rPr>
          <w:color w:val="555555"/>
          <w:sz w:val="17"/>
        </w:rPr>
        <w:t xml:space="preserve">Zitiervorschlag: § 1 SVZustÜV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