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88a SVWO 1997 — Datenschutzrechtliche Spezialregelungen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(1) Hinsichtlich der in den Vorschlagslisten enthaltenen personenbezogenen Daten bestehen das Recht auf Berichtigung nach Artikel 16 und das Recht auf Einschränkung der Verarbeitung nach Artikel 18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im Zeitraum vom Ablauf der Frist für die Einreichung von Vorschlagslisten bis zum Ablauf des Wahltages abschließend nach Maßgabe der §§ 18 und 22.</w:t>
      </w:r>
    </w:p>
    <w:p>
      <w:r>
        <w:t xml:space="preserve">(2) In Bezug auf die für die Erstellung von Wahlausweisen verarbeiteten personenbezogenen Daten erfolgt die Information der betroffenen Person abweichend von Artikel 13 Absatz 3 der Verordnung (EU) 2016/679 mit der Erteilung der Wahlausweise. Die Berichtigung der im Wahlausweis enthaltenen personenbezogenen Daten gemäß Artikel 16 der Verordnung (EU) 2016/679 erfolgt nur bis zum siebten Kalendertag vor dem Wahltag. Die Löschung der in den Wahlausweisen enthaltenen Daten sowie die Einschränkung der Verarbeitung erfolgt nur unter den Voraussetzungen des § 91.</w:t>
      </w:r>
    </w:p>
    <w:p>
      <w:r>
        <w:rPr>
          <w:color w:val="555555"/>
          <w:sz w:val="17"/>
        </w:rPr>
        <w:t xml:space="preserve">Zitiervorschlag: § 88a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https://recht.nulegal.eu/gesetze/SVWO%201997/88a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