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SVWO 1997 — Entschädigung der Mitglieder der Wahlausschüsse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der Wahlausschüsse werden wie die Mitglieder der Selbstverwaltungsorgane des Versicherungsträgers entschädigt, für den sie tätig sind.</w:t>
      </w:r>
    </w:p>
    <w:p>
      <w:r>
        <w:t xml:space="preserve">(2) Wird ein Wahlausschuß von der Aufsichtsbehörde bestellt, regelt diese die Entschädigung der Mitglieder.</w:t>
      </w:r>
    </w:p>
    <w:p>
      <w:r>
        <w:rPr>
          <w:color w:val="555555"/>
          <w:sz w:val="17"/>
        </w:rPr>
        <w:t xml:space="preserve">Zitiervorschlag: § 7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