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SVWO 1997 — Ermittlung des Online-Wahlergebnisses durch die Online-Wahlleitung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18.06.2026 (konsolidierte Textfassung, kein amtliches Inkrafttretensdatum)</w:t>
      </w:r>
    </w:p>
    <w:p>
      <w:r>
        <w:t xml:space="preserve">(1) Die Auswertung der elektronisch abgegebenen Stimmen muss vor der Auswertung der brieflich abgegebenen Stimmen vorgenommen werden. Die Online-Wahlleitung ermittelt unverzüglich nach dem Wahltag getrennt nach Wählergruppen, wie viele Stimmen für die einzelnen Vorschlagslisten abgegeben sind. Die Ermittlung darf erst erfolgen, wenn alle Wahlberechtigten vom Online-Wahlsystem abgemeldet sind und keinen Zugriff mehr darauf haben.</w:t>
      </w:r>
    </w:p>
    <w:p>
      <w:r>
        <w:t xml:space="preserve">(2) Für die Ermittlung des Wahlergebnisses der Online-Wahl veranlasst die Online-Wahlleitung eine vom Online-Wahlsystem durchzuführende Auszählung der elektronisch abgegebenen Stimmen sowie die Erstellung einer Übersicht der folgenden Ergebnisdaten:</w:t>
      </w:r>
    </w:p>
    <w:p>
      <w:pPr>
        <w:ind w:left="420"/>
      </w:pPr>
      <w:r>
        <w:t xml:space="preserve">1. die Gesamtzahl der elektronisch abgegebenen Stimmen,</w:t>
      </w:r>
    </w:p>
    <w:p>
      <w:pPr>
        <w:ind w:left="420"/>
      </w:pPr>
      <w:r>
        <w:t xml:space="preserve">2. die Zahl der gültigen elektronisch abgegebenen Stimmen,</w:t>
      </w:r>
    </w:p>
    <w:p>
      <w:pPr>
        <w:ind w:left="420"/>
      </w:pPr>
      <w:r>
        <w:t xml:space="preserve">3. die Zahl der ungültigen elektronisch abgegebenen Stimmen sowie</w:t>
      </w:r>
    </w:p>
    <w:p>
      <w:pPr>
        <w:ind w:left="420"/>
      </w:pPr>
      <w:r>
        <w:t xml:space="preserve">4. die Zahl der für jede Vorschlagsliste elektronisch abgegebenen gültigen Stimmen.</w:t>
      </w:r>
    </w:p>
    <w:p>
      <w:r>
        <w:t xml:space="preserve">Die Ermittlung des Wahlergebnisses ist manipulationssicher durchzuführen. Die Online-Wahlleitung stellt das Wahlergebnis der Online-Wahl durch einen Ausdruck der in Satz 1 genannten Ergebnisdaten, der von den Mitgliedern der Online-Wahlleitung zu unterschreiben ist, fest. Das Wahlergebnis der Online-Wahl ist in die Wahlniederschrift der Online-Wahlleitung aufzunehmen.</w:t>
      </w:r>
    </w:p>
    <w:p>
      <w:r>
        <w:t xml:space="preserve">(3) Das nach Absatz 2 Satz 1 festgestellte Wahlergebnis muss gegen Zugriffe Dritter sicher geschützt aufbewahrt werden und die zugrunde liegenden Datensätze im Online-Wahlsystem (Wahldaten) müssen vor Veränderungen und Löschung geschützt sein.</w:t>
      </w:r>
    </w:p>
    <w:p>
      <w:r>
        <w:t xml:space="preserve">(4) Die Online-Wahlleitung übermittelt dem Wahlausschuss unverzüglich die Wahlniederschrift.</w:t>
      </w:r>
    </w:p>
    <w:p>
      <w:r>
        <w:rPr>
          <w:color w:val="555555"/>
          <w:sz w:val="17"/>
        </w:rPr>
        <w:t xml:space="preserve">Zitiervorschlag: § 54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