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SVWO 1997 — Einrichtung und Freigabe des Online-Wahlsystems durch den Wahlausschuss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18.06.2026 (konsolidierte Textfassung, kein amtliches Inkrafttretensdatum)</w:t>
      </w:r>
    </w:p>
    <w:p>
      <w:r>
        <w:t xml:space="preserve">(1) Der Wahlausschuss des Versicherungsträgers hat sich unter Berücksichtigung der jeweiligen Besonderheiten des Online-Wahlsystems vor der Freigabe des Online-Wahlsystems von dessen korrekter Einrichtung zu überzeugen, insbesondere ob</w:t>
      </w:r>
    </w:p>
    <w:p>
      <w:pPr>
        <w:ind w:left="420"/>
      </w:pPr>
      <w:r>
        <w:t xml:space="preserve">1. der Beginn und das Ende des Wahlzeitraums sowie die Wahlphase nach den Vorgaben des § 48 Absatz 1 gesetzt und nicht mehr veränderbar sind,</w:t>
      </w:r>
    </w:p>
    <w:p>
      <w:pPr>
        <w:ind w:left="420"/>
      </w:pPr>
      <w:r>
        <w:t xml:space="preserve">2. der Online-Stimmzettel den Vorgaben des § 41 Absatz 3a entspricht und nicht mehr veränderbar ist,</w:t>
      </w:r>
    </w:p>
    <w:p>
      <w:pPr>
        <w:ind w:left="420"/>
      </w:pPr>
      <w:r>
        <w:t xml:space="preserve">3. das Wählerverzeichnis nach § 33 Absatz 4 ordnungsgemäß und vollständig in das Online-Wahlsystem übertragen wurde und nicht mehr veränderbar ist,</w:t>
      </w:r>
    </w:p>
    <w:p>
      <w:pPr>
        <w:ind w:left="420"/>
      </w:pPr>
      <w:r>
        <w:t xml:space="preserve">4. die elektronische Wahlurne leer ist,</w:t>
      </w:r>
    </w:p>
    <w:p>
      <w:pPr>
        <w:ind w:left="420"/>
      </w:pPr>
      <w:r>
        <w:t xml:space="preserve">5. die für den Wahlablauf relevanten Texte und Systemmeldungen des Online-Wahlsystems funktionsfähig, vollständig, sachlich richtig und nicht veränderbar sind,</w:t>
      </w:r>
    </w:p>
    <w:p>
      <w:pPr>
        <w:ind w:left="420"/>
      </w:pPr>
      <w:r>
        <w:t xml:space="preserve">6. das Online-Wahlsystem im Wahlverlauf nicht mehr veränderbar ist und alle relevanten Komponenten des Online-Wahlsystems vollständig und manipulationsfrei überwacht werden,</w:t>
      </w:r>
    </w:p>
    <w:p>
      <w:pPr>
        <w:ind w:left="420"/>
      </w:pPr>
      <w:r>
        <w:t xml:space="preserve">7. die Anwendungs- und Systemprotokolle aktiviert sind,</w:t>
      </w:r>
    </w:p>
    <w:p>
      <w:pPr>
        <w:ind w:left="420"/>
      </w:pPr>
      <w:r>
        <w:t xml:space="preserve">8. die erforderlichen Berechtigungen für die Durchführung der Online-Wahl im Online-Wahlsystem eingerichtet sind und</w:t>
      </w:r>
    </w:p>
    <w:p>
      <w:pPr>
        <w:ind w:left="420"/>
      </w:pPr>
      <w:r>
        <w:t xml:space="preserve">9. die nicht mehr erforderlichen Berechtigungen aus allen vorangegangenen Tests und Überprüfungen des Online-Wahlsystems entfernt sind.</w:t>
      </w:r>
    </w:p>
    <w:p>
      <w:r>
        <w:t xml:space="preserve">(2) Das Online-Wahlsystem ist durch mindestens zwei Mitglieder des Wahlausschusses freizugeben, wenn es korrekt nach Absatz 1 eingerichtet wurde und die weiteren jeweils erforderlichen Prüfungen gemäß der Technischen Richtlinie TR-03169 des Bundesamtes für Sicherheit in der Informationstechnik ordnungsgemäß durchgeführt wurden. Nach der Freigabe dürfen grundsätzlich keine Veränderungen des Online-Wahlsystems mehr durchgeführt werden. Sollten Veränderungen des Online-Wahlsystems notwendig sein, müssen eine erneute Prüfung nach Absatz 1 und Freigabe nach Satz 1 erfolgen. Die Ergebnisse der Prüfung der Einrichtung des Online-Wahlsystems nach Absatz 1 und die Entscheidung über die Freigabe nach Satz 1 sind in der Niederschrift des Wahlausschusses zu protokollieren.</w:t>
      </w:r>
    </w:p>
    <w:p>
      <w:r>
        <w:rPr>
          <w:color w:val="555555"/>
          <w:sz w:val="17"/>
        </w:rPr>
        <w:t xml:space="preserve">Zitiervorschlag: § 49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