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SVWO 1997 — Auslegung der Vorschlagslisten</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Wird eine Wahl mit Wahlhandlung durchgeführt, legt der Versicherungsträger in seinen Geschäftsstellen Abschriften der zugelassenen Vorschlagslisten und die Darstellungen der Listenträger öffentlich aus.</w:t>
      </w:r>
    </w:p>
    <w:p>
      <w:r>
        <w:t xml:space="preserve">(2) Die Abschriften der Vorschlagslisten sind spätestens am 51. Tag vor dem Wahltag auszulegen und müssen bis zum Ablauf des Wahltages ausliegen. Sie können zusätzlich im Internet veröffentlicht werden. In den Abschriften sind Familienname, Vorname, Geburtsjahr und Wohnort anzugeben. § 88 Absatz 2 Satz 2 und 4 erste Alternative gilt entsprechend.</w:t>
      </w:r>
    </w:p>
    <w:p>
      <w:r>
        <w:rPr>
          <w:color w:val="555555"/>
          <w:sz w:val="17"/>
        </w:rPr>
        <w:t xml:space="preserve">Zitiervorschlag: § 26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