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SVVOWiZustV (Brandenburg) — Inkrafttreten</w:t>
      </w:r>
    </w:p>
    <w:p>
      <w:r>
        <w:rPr>
          <w:color w:val="555555"/>
          <w:sz w:val="18"/>
        </w:rPr>
        <w:t xml:space="preserve">Subdelegationsverordnung zur Änderung derVerkehrsordnungswidrigkeitenzuständigkeitsverordnung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19. August 2026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Dr. Jan Redmann</w:t>
      </w:r>
    </w:p>
    <w:p>
      <w:r>
        <w:rPr>
          <w:color w:val="555555"/>
          <w:sz w:val="17"/>
        </w:rPr>
        <w:t xml:space="preserve">Zitiervorschlag: § 2 SVVOWiZustV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https://recht.nulegal.eu/gesetze/SVVOWiZustV/2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