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SVVOWiZustV (Brandenburg) — Übertragung der Verordnungsermächtigung</w:t>
      </w:r>
    </w:p>
    <w:p>
      <w:r>
        <w:rPr>
          <w:color w:val="555555"/>
          <w:sz w:val="18"/>
        </w:rPr>
        <w:t xml:space="preserve">Subdelegationsverordnung zur Änderung derVerkehrsordnungswidrigkeitenzuständigkeitsverordnung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Ermächtigung zum Erlass von Rechtsverordnungen nach § 26 Absatz 1 Satz 1 des Straßenverkehrsgesetzes in Verbindung mit § 36 Absatz 2 Satz 1 des Gesetzes über Ordnungswidrigkeiten wird auf das für Inneres zuständige Mitglied der Landesregierung übertragen.</w:t>
      </w:r>
    </w:p>
    <w:p>
      <w:r>
        <w:rPr>
          <w:color w:val="555555"/>
          <w:sz w:val="17"/>
        </w:rPr>
        <w:t xml:space="preserve">Zitiervorschlag: § 1 SVVOWiZustV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https://recht.nulegal.eu/gesetze/SVVOWiZustV/1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