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32 SVSaarAnglG</w:t>
      </w:r>
    </w:p>
    <w:p>
      <w:r>
        <w:rPr>
          <w:color w:val="555555"/>
          <w:sz w:val="18"/>
        </w:rPr>
        <w:t xml:space="preserve">Sozialversicherungs-Angleichungsgesetz Saar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Bis zur Neuregelung des Rechts der gesetzlichen Krankenversicherung gilt § 10 des Fremdrenten- und Auslandsrentengesetzes vom 7. August 1953 (Bundesgesetzbl. I S. 848) weiter.</w:t>
      </w:r>
    </w:p>
    <w:p>
      <w:r>
        <w:rPr>
          <w:color w:val="555555"/>
          <w:sz w:val="17"/>
        </w:rPr>
        <w:t xml:space="preserve">Zitiervorschlag: § 32 SVSaarAnglG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https://recht.nulegal.eu/gesetze/SVSaarAnglG/32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