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SVSaarAnglG</w:t>
      </w:r>
    </w:p>
    <w:p>
      <w:r>
        <w:rPr>
          <w:color w:val="555555"/>
          <w:sz w:val="18"/>
        </w:rPr>
        <w:t xml:space="preserve">Sozialversicherungs-Angleichungsgesetz Saar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Artikel 2 des Arbeiterrentenversicherungs-Neuregelungsgesetzes in der Fassung des Gesetzes Nr. 591 erhalten § 56 die Bezeichnung § 54a ....</w:t>
      </w:r>
    </w:p>
    <w:p>
      <w:r>
        <w:rPr>
          <w:color w:val="555555"/>
          <w:sz w:val="17"/>
        </w:rPr>
        <w:t xml:space="preserve">Zitiervorschlag: § 21 SVSaarAnglG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https://recht.nulegal.eu/gesetze/SVSaarAnglG/21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