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SVSaarAnglG</w:t>
      </w:r>
    </w:p>
    <w:p>
      <w:r>
        <w:rPr>
          <w:color w:val="555555"/>
          <w:sz w:val="18"/>
        </w:rPr>
        <w:t xml:space="preserve">Sozialversicherungs-Angleichungsgesetz Saar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Fremdrentengesetz in der Fassung des Artikels 1 des Fremdrenten- und Auslandsrenten- Neuregelungsgesetzes vom 25. Februar 1960 (Bundesgesetzbl. I S. 93) wird im Saarland mit der Maßgabe eingeführt, daß in § 16 Satz 2 nach den Worten "am 1. März 1957" und in § 20 Abs. 4 Satz 1 nach den Worten "nach den jeweils" die Worte "außerhalb des Saarlandes" eingefügt werden.</w:t>
      </w:r>
    </w:p>
    <w:p>
      <w:r>
        <w:rPr>
          <w:color w:val="555555"/>
          <w:sz w:val="17"/>
        </w:rPr>
        <w:t xml:space="preserve">Zitiervorschlag: § 18 SVSaarAnglG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https://recht.nulegal.eu/gesetze/SVSaarAnglG/18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