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Leistung, auf die bei Inkrafttreten dieses Abschnitts nach dem bis zu diesem Zeitpunkt im Saarland geltenden Recht ein Anspruch besteht, der nach dem in den §§ 1, 2 und 4 genannten Recht ganz oder teilweise nicht gegeben ist, wird auch für die Zeit nach dem Inkrafttreten dieses Abschnitts gewährt, wenn und solange die nach bisherigem Recht erforderlichen Leistungsvoraussetzungen erfüllt sind.</w:t>
      </w:r>
    </w:p>
    <w:p>
      <w:r>
        <w:t xml:space="preserve">(2) Der der Saarknappschaft nach § 16 Abs. 4 des Saarknappschaftsgesetzes von der Landesversicherungsanstalt für das Saarland, der Bundesbahn-Versicherungsanstalt und der Bundesversicherungsanstalt für Angestellte zu erstattende laufende Monatsbeitrag wird für die Zeit vom 1. Januar 1962 bis zum Inkrafttreten dieses Abschnitts auf 22 Deutsche Mark festgesetzt.</w:t>
      </w:r>
    </w:p>
    <w:p>
      <w:r>
        <w:rPr>
          <w:color w:val="555555"/>
          <w:sz w:val="17"/>
        </w:rPr>
        <w:t xml:space="preserve">Zitiervorschlag: § 17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