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SVSaarAnglG</w:t>
      </w:r>
    </w:p>
    <w:p>
      <w:r>
        <w:rPr>
          <w:color w:val="555555"/>
          <w:sz w:val="18"/>
        </w:rPr>
        <w:t xml:space="preserve">Sozialversicherungs-Angleichungsgesetz Saar</w:t>
      </w:r>
    </w:p>
    <w:p>
      <w:r>
        <w:rPr>
          <w:color w:val="555555"/>
          <w:sz w:val="18"/>
        </w:rPr>
        <w:t xml:space="preserve">Stand: 10.06.2019 (konsolidierte Textfassung, kein amtliches Inkrafttretensdatum)</w:t>
      </w:r>
    </w:p>
    <w:p>
      <w:r>
        <w:t xml:space="preserve">Personen, die mit dem Inkrafttreten dieses Abschnitts in der Krankenversicherung versicherungspflichtig werden und auf Grund eines privaten Versicherungsvertrags gegen Krankheit versichert sind, können den Versicherungsvertrag zum Ende des Monats kündigen, in dem sie den Beginn der Pflichtversicherung nachweisen.</w:t>
      </w:r>
    </w:p>
    <w:p>
      <w:r>
        <w:rPr>
          <w:color w:val="555555"/>
          <w:sz w:val="17"/>
        </w:rPr>
        <w:t xml:space="preserve">Zitiervorschlag: § 15 SVSaarAnglG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https://recht.nulegal.eu/gesetze/SVSaarAnglG/15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