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SVSaarAnglG</w:t>
      </w:r>
    </w:p>
    <w:p>
      <w:r>
        <w:rPr>
          <w:color w:val="555555"/>
          <w:sz w:val="18"/>
        </w:rPr>
        <w:t xml:space="preserve">Sozialversicherungs-Angleichungsgesetz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Arbeit und Sozialordnung kann mit Zustimmung des Bundesrates Verwaltungsvorschriften zur Durchführung der §§ 5 bis 10 erlassen.</w:t>
      </w:r>
    </w:p>
    <w:p>
      <w:r>
        <w:rPr>
          <w:color w:val="555555"/>
          <w:sz w:val="17"/>
        </w:rPr>
        <w:t xml:space="preserve">Zitiervorschlag: § 13 SVSaarAnglG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https://recht.nulegal.eu/gesetze/SVSaarAnglG/13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