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SVRV 1999 — Zahlungsanordnung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Zahlungsanordnung kann erteilt werden als</w:t>
      </w:r>
    </w:p>
    <w:p>
      <w:pPr>
        <w:ind w:left="420"/>
      </w:pPr>
      <w:r>
        <w:t xml:space="preserve">1. Einzelanordnung für eine Zahlung,</w:t>
      </w:r>
    </w:p>
    <w:p>
      <w:pPr>
        <w:ind w:left="420"/>
      </w:pPr>
      <w:r>
        <w:t xml:space="preserve">2. Sammelanordnung für mehrere Zahlungen,</w:t>
      </w:r>
    </w:p>
    <w:p>
      <w:pPr>
        <w:ind w:left="420"/>
      </w:pPr>
      <w:r>
        <w:t xml:space="preserve">3. Daueranordnung für laufende Zahlungen.</w:t>
      </w:r>
    </w:p>
    <w:p>
      <w:r>
        <w:t xml:space="preserve">(2) Die Zahlungsanordnung kann auch in abgekürzter Form (abgekürzte Zahlungsanordnung) oder in allgemeiner Form (allgemeine Zahlungsanordnung) erteilt werden.</w:t>
      </w:r>
    </w:p>
    <w:p>
      <w:r>
        <w:t xml:space="preserve">(3) Die Zahlungsanordnung ist von dem zur Anordnung Befugten schriftlich oder im Wege IT-gestützter Verfahren zu erteilen.</w:t>
      </w:r>
    </w:p>
    <w:p>
      <w:r>
        <w:t xml:space="preserve">(4) In der Zahlungsanordnung dürfen die Höhe des Betrages, der anzunehmen oder auszuzahlen ist, und die Bezeichnung des Einzahlers oder des Empfängers sowie die Kontonummer nicht geändert werden.</w:t>
      </w:r>
    </w:p>
    <w:p>
      <w:r>
        <w:t xml:space="preserve">(5) Absatz 1 Nr. 1 und 2 sowie die Absätze 3 und 4 gelten für die Buchungsanordnung entsprechend.</w:t>
      </w:r>
    </w:p>
    <w:p>
      <w:r>
        <w:t xml:space="preserve">(6) Nähere Einzelheiten sind in allgemeinen Verwaltungsvorschriften zu regeln.</w:t>
      </w:r>
    </w:p>
    <w:p>
      <w:r>
        <w:rPr>
          <w:color w:val="555555"/>
          <w:sz w:val="17"/>
        </w:rPr>
        <w:t xml:space="preserve">Zitiervorschlag: § 7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SVRV 1999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