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SVRV 1999 — Belege für Einzahlungen, Auszahlungen und Buchungen ohne Zahlungsvorgang</w:t>
      </w:r>
    </w:p>
    <w:p>
      <w:r>
        <w:rPr>
          <w:color w:val="555555"/>
          <w:sz w:val="18"/>
        </w:rPr>
        <w:t xml:space="preserve">Sozialversicherungs-Rechnungsverordnung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Belege für Einzahlungen und für Auszahlungen bestehen aus</w:t>
      </w:r>
    </w:p>
    <w:p>
      <w:pPr>
        <w:ind w:left="420"/>
      </w:pPr>
      <w:r>
        <w:t xml:space="preserve">1. der Zahlungsanordnung (Annahme- oder Auszahlungsanordnung),</w:t>
      </w:r>
    </w:p>
    <w:p>
      <w:pPr>
        <w:ind w:left="420"/>
      </w:pPr>
      <w:r>
        <w:t xml:space="preserve">2. den sonstigen die Zahlung begründenden Unterlagen,</w:t>
      </w:r>
    </w:p>
    <w:p>
      <w:pPr>
        <w:ind w:left="420"/>
      </w:pPr>
      <w:r>
        <w:t xml:space="preserve">3. der Zahlungsbescheinigung oder der Quittung.</w:t>
      </w:r>
    </w:p>
    <w:p>
      <w:r>
        <w:t xml:space="preserve">(2) Belege für Buchungen, denen kein Zahlungsvorgang zugrunde liegt, bestehen aus</w:t>
      </w:r>
    </w:p>
    <w:p>
      <w:pPr>
        <w:ind w:left="420"/>
      </w:pPr>
      <w:r>
        <w:t xml:space="preserve">1. der Buchungsanordnung,</w:t>
      </w:r>
    </w:p>
    <w:p>
      <w:pPr>
        <w:ind w:left="420"/>
      </w:pPr>
      <w:r>
        <w:t xml:space="preserve">2. den sonstigen die Buchung begründenden Unterlagen.</w:t>
      </w:r>
    </w:p>
    <w:p>
      <w:r>
        <w:t xml:space="preserve">(3) Belege im Sinne der Absätze 1 und 2 können auch elektronisch erzeugte Dateien oder Datensätze sein.</w:t>
      </w:r>
    </w:p>
    <w:p>
      <w:r>
        <w:rPr>
          <w:color w:val="555555"/>
          <w:sz w:val="17"/>
        </w:rPr>
        <w:t xml:space="preserve">Zitiervorschlag: § 6 SVRV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https://recht.nulegal.eu/gesetze/SVRV%201999/6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