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SVRV 1999 — Prüfungen der Kasse und der Buchführung</w:t>
      </w:r>
    </w:p>
    <w:p>
      <w:r>
        <w:rPr>
          <w:color w:val="555555"/>
          <w:sz w:val="18"/>
        </w:rPr>
        <w:t xml:space="preserve">Sozialversicherungs-Rechnungsverordnung</w:t>
      </w:r>
    </w:p>
    <w:p>
      <w:r>
        <w:rPr>
          <w:color w:val="555555"/>
          <w:sz w:val="18"/>
        </w:rPr>
        <w:t xml:space="preserve">Stand: 10.06.2019 (konsolidierte Textfassung, kein amtliches Inkrafttretensdatum)</w:t>
      </w:r>
    </w:p>
    <w:p>
      <w:r>
        <w:t xml:space="preserve">(1) Die Kasse und die Buchführung sind, soweit sie Barmittel und Girokonten betreffen, mehrmals im Jahr unvermutet zu prüfen. In die Prüfung sind Termingelder einzubeziehen, soweit es sich um sofort verfügbare Zahlungsmittel handelt. Eine Prüfung im Jahr hat sich auch auf die übrigen Geldanlagen zu beziehen.</w:t>
      </w:r>
    </w:p>
    <w:p>
      <w:r>
        <w:t xml:space="preserve">(2) Betriebskassen, Nebenkassen und Zahlstellen sind jährlich mindestens einmal unvermutet zu prüfen, sofern der jährliche Umsatz der Kasse über einer in allgemeinen Verwaltungsvorschriften festzulegenden Grenze liegt.</w:t>
      </w:r>
    </w:p>
    <w:p>
      <w:r>
        <w:t xml:space="preserve">(3) Wenn durch ein ungewöhnliches Ereignis ein Schaden entstanden ist oder ein solcher vermutet wird, ist unverzüglich zu prüfen.</w:t>
      </w:r>
    </w:p>
    <w:p>
      <w:r>
        <w:t xml:space="preserve">(4) Werden bei einer Prüfung Mängel von grundsätzlicher Bedeutung oder Schäden von erheblichem finanziellem Umfang festgestellt, so ist die Aufsichtsbehörde zu unterrichten.</w:t>
      </w:r>
    </w:p>
    <w:p>
      <w:r>
        <w:rPr>
          <w:color w:val="555555"/>
          <w:sz w:val="17"/>
        </w:rPr>
        <w:t xml:space="preserve">Zitiervorschlag: § 4 SVRV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https://recht.nulegal.eu/gesetze/SVRV%201999/4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SVRV 1999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