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SVRV 1999 — Kassenordnung</w:t>
      </w:r>
    </w:p>
    <w:p>
      <w:r>
        <w:rPr>
          <w:color w:val="555555"/>
          <w:sz w:val="18"/>
        </w:rPr>
        <w:t xml:space="preserve">Sozialversicherungs-Rechnungsverordnung</w:t>
      </w:r>
    </w:p>
    <w:p>
      <w:r>
        <w:rPr>
          <w:color w:val="555555"/>
          <w:sz w:val="18"/>
        </w:rPr>
        <w:t xml:space="preserve">Stand: 10.06.2019 (konsolidierte Textfassung, kein amtliches Inkrafttretensdatum)</w:t>
      </w:r>
    </w:p>
    <w:p>
      <w:r>
        <w:t xml:space="preserve">Der Vorstand des Versicherungsträgers hat zur Sicherheit des Zahlungsverkehrs und der Buchführung eine Kassenordnung aufzustellen. Die Aufsichtsbehörde ist von der Kassenordnung und ihren Änderungen zu unterrichten. Die Unterrichtung kann unterbleiben, soweit die Kassenordnung mit der Musterkassenordnung übereinstimmt, die der zuständige Bundes- oder Landesverband oder die zuständige Bundesvereinigung in Abstimmung mit den für die Sozialversicherung zuständigen obersten Verwaltungsbehörden oder den von diesen bestimmten Stellen aufgestellt hat.</w:t>
      </w:r>
    </w:p>
    <w:p>
      <w:r>
        <w:rPr>
          <w:color w:val="555555"/>
          <w:sz w:val="17"/>
        </w:rPr>
        <w:t xml:space="preserve">Zitiervorschlag: § 3 SVRV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https://recht.nulegal.eu/gesetze/SVRV%201999/3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SVRV 1999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