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SVRV 1999 — Inkrafttreten, Außerkrafttreten</w:t>
      </w:r>
    </w:p>
    <w:p>
      <w:r>
        <w:rPr>
          <w:color w:val="555555"/>
          <w:sz w:val="18"/>
        </w:rPr>
        <w:t xml:space="preserve">Sozialversicherungs-Rechnungsverordnung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Tage nach der Verkündung in Kraft; § 16 Abs. 1 Satz 2 tritt am 1. Januar 2002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21 SVRV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https://recht.nulegal.eu/gesetze/SVRV%201999/21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