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SVRV 1999 — Abwicklung des Zahlungsverkehrs</w:t>
      </w:r>
    </w:p>
    <w:p>
      <w:r>
        <w:rPr>
          <w:color w:val="555555"/>
          <w:sz w:val="18"/>
        </w:rPr>
        <w:t xml:space="preserve">Sozialversicherungs-Rechnungsverordnung</w:t>
      </w:r>
    </w:p>
    <w:p>
      <w:r>
        <w:rPr>
          <w:color w:val="555555"/>
          <w:sz w:val="18"/>
        </w:rPr>
        <w:t xml:space="preserve">Stand: 10.06.2019 (konsolidierte Textfassung, kein amtliches Inkrafttretensdatum)</w:t>
      </w:r>
    </w:p>
    <w:p>
      <w:r>
        <w:t xml:space="preserve">(1) Der Zahlungsverkehr ist ordnungsgemäß, sicher und wirtschaftlich durchzuführen.</w:t>
      </w:r>
    </w:p>
    <w:p>
      <w:r>
        <w:t xml:space="preserve">(2) Ein- und Auszahlungen sind auf Grund von Zahlungsanordnungen anzunehmen oder zu leisten. Bei Einzahlungen kann hiervon ausnahmsweise abgewichen werden, sofern ein sachlicher Grund vorliegt.</w:t>
      </w:r>
    </w:p>
    <w:p>
      <w:r>
        <w:t xml:space="preserve">(3) Zur Anordnung oder Feststellung Befugte dürfen an der Abwicklung des Zahlungsverkehrs nicht beteiligt sein. In der Kassenordnung können Ausnahmen zugelassen werden, wenn dies aus organisatorischen oder personellen Gründen erforderlich ist.</w:t>
      </w:r>
    </w:p>
    <w:p>
      <w:r>
        <w:t xml:space="preserve">(4) Der Zahlungsverkehr und die Buchführung sind verschiedenen Bediensteten zu übertragen. In der Kassenordnung können Ausnahmen zugelassen werden, wenn dies aus organisatorischen oder personellen Gründen erforderlich ist.</w:t>
      </w:r>
    </w:p>
    <w:p>
      <w:r>
        <w:t xml:space="preserve">(5) Wird von den Ausnahmemöglichkeiten der Absätze 3 und 4 Gebrauch gemacht, so muß sichergestellt sein, daß die Freigabe zur Zahlung oder der Zahlungsauftrag an das Geldinstitut durch einen Bediensteten erfolgt, der weder mit der Anordnung noch mit der Feststellung noch mit der Buchführung befaßt ist.</w:t>
      </w:r>
    </w:p>
    <w:p>
      <w:r>
        <w:rPr>
          <w:color w:val="555555"/>
          <w:sz w:val="17"/>
        </w:rPr>
        <w:t xml:space="preserve">Zitiervorschlag: § 2 SVRV 1999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https://recht.nulegal.eu/gesetze/SVRV%201999/2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