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SVRV 1999 — Einsatz der automatisierten Datenverarbeitung</w:t>
      </w:r>
    </w:p>
    <w:p>
      <w:r>
        <w:rPr>
          <w:color w:val="555555"/>
          <w:sz w:val="18"/>
        </w:rPr>
        <w:t xml:space="preserve">Sozialversicherungs-Rechnungsverordnung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hauptamtliche Vertreter des Versicherungsträgers hat bei Einsatz der automatisierten Datenverarbeitung zur Sicherheit des Verfahrens eine Dienstanweisung zu erlassen. Die Grundsätze ordnungsmäßiger Datenverarbeitung sind zu beachten.</w:t>
      </w:r>
    </w:p>
    <w:p>
      <w:r>
        <w:rPr>
          <w:color w:val="555555"/>
          <w:sz w:val="17"/>
        </w:rPr>
        <w:t xml:space="preserve">Zitiervorschlag: § 17 SVRV 1999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https://recht.nulegal.eu/gesetze/SVRV%201999/17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