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SVRV 1999 — Führung der Bücher</w:t>
      </w:r>
    </w:p>
    <w:p>
      <w:r>
        <w:rPr>
          <w:color w:val="555555"/>
          <w:sz w:val="18"/>
        </w:rPr>
        <w:t xml:space="preserve">Sozialversicherungs-Rechnungsverordnung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gleichzeitige Eintragung in verschiedene Bücher ist zulässig, wenn die Bücher im Durchschreibeverfahren geführt oder andere technische Hilfsmittel verwendet werden.</w:t>
      </w:r>
    </w:p>
    <w:p>
      <w:r>
        <w:t xml:space="preserve">(2) Werden die Bücher auf maschinell verwertbaren Datenträgern geführt, muß insbesondere sichergestellt werden, daß die Daten verfügbar sind und jederzeit innerhalb angemessener Frist lesbar gemacht und ausgedruckt werden können.</w:t>
      </w:r>
    </w:p>
    <w:p>
      <w:r>
        <w:rPr>
          <w:color w:val="555555"/>
          <w:sz w:val="17"/>
        </w:rPr>
        <w:t xml:space="preserve">Zitiervorschlag: § 13 SVRV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https://recht.nulegal.eu/gesetze/SVRV%201999/13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