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den Übergang der Verbindlichkeiten wird der bisherige Schuldner befreit; im übrigen werden die Rechte des Gläubigers, insbesondere seine Ansprüche gegen einen Bürgen sowie seine Rechte aus einem Pfandrecht, einer Hypothek oder einer sonstigen Sicherheit nicht berührt. § 418 des Bürgerlichen Gesetzbuchs gilt nicht.</w:t>
      </w:r>
    </w:p>
    <w:p>
      <w:r>
        <w:t xml:space="preserve">(2) Zum Nachweis des Übergangs des Eigentums an einem Grundstück gegenüber dem Grundbuchamt genügt eine Bescheinigung der Aufsichtsbehörde; dies gilt für sonstige im Grundbuch eingetragene Rechte entsprechend.</w:t>
      </w:r>
    </w:p>
    <w:p>
      <w:r>
        <w:t xml:space="preserve">(3) Gerichtsgebühren und andere Abgaben, die aus Anlaß und in Durchführung des § 5 entstehen, werden nicht erhoben; bare Auslagen bleiben außer Ansatz.</w:t>
      </w:r>
    </w:p>
    <w:p>
      <w:r>
        <w:rPr>
          <w:color w:val="555555"/>
          <w:sz w:val="17"/>
        </w:rPr>
        <w:t xml:space="preserve">Zitiervorschlag: § 6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