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Rechte und Pflichten der Landesversicherungsanstalt für das Saarland aus den Versicherungsverhältnissen in der Krankenversicherung gehen auf die Allgemeine Ortskrankenkasse für das Saarland über.</w:t>
      </w:r>
    </w:p>
    <w:p>
      <w:r>
        <w:t xml:space="preserve">(2) Die Rechte und Pflichten der Eisenbahn-Betriebskrankenkasse Saarbrücken aus den Versicherungsverhältnissen gehen auf die Bundesbahn-Betriebskrankenkasse über.</w:t>
      </w:r>
    </w:p>
    <w:p>
      <w:r>
        <w:t xml:space="preserve">(3) § 212 der Reichsversicherungsordnung gilt.</w:t>
      </w:r>
    </w:p>
    <w:p>
      <w:r>
        <w:rPr>
          <w:color w:val="555555"/>
          <w:sz w:val="17"/>
        </w:rPr>
        <w:t xml:space="preserve">Zitiervorschlag: § 4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