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Saarland werden folgende Vorschriften eingeführt:</w:t>
      </w:r>
    </w:p>
    <w:p>
      <w:pPr>
        <w:ind w:left="420"/>
      </w:pPr>
      <w:r>
        <w:t xml:space="preserve">1. die Verordnung über die Vergütung der Krankenkassen für die Einziehung der Beiträge zur Bundesanstalt für Arbeitsvermittlung und Arbeitslosenversicherung vom 29. Oktober 1955 (Bundesanzeiger Nr. 214 vom 4. November 1955),</w:t>
      </w:r>
    </w:p>
    <w:p>
      <w:pPr>
        <w:ind w:left="420"/>
      </w:pPr>
      <w:r>
        <w:t xml:space="preserve">2. die Zweite Verordnung zur Durchführung des Gesetzes über Arbeitsvermittlung und Arbeitslosenversicherung (Verordnung zu § 161 AVAVG) vom 25. Juli 1957 (Bundesgesetzbl. I S. 766),</w:t>
      </w:r>
    </w:p>
    <w:p>
      <w:pPr>
        <w:ind w:left="420"/>
      </w:pPr>
      <w:r>
        <w:t xml:space="preserve">3. die Verordnung über die Höhe der an die Einzugsstellen zu leistenden Vergütung für den Einzug der Beiträge zu den Rentenversicherungen der Arbeiter und der Angestellten vom 21. August 1957 (Bundesgesetzbl. I S. 1274).</w:t>
      </w:r>
    </w:p>
    <w:p>
      <w:r>
        <w:rPr>
          <w:color w:val="555555"/>
          <w:sz w:val="17"/>
        </w:rPr>
        <w:t xml:space="preserve">Zitiervorschlag: § 39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