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Zuständigkeit der Bundesbahn-Betriebskrankenkasse und der Betriebskrankenkasse des Bundesverkehrsministeriums erstreckt sich auf das Saarland.</w:t>
      </w:r>
    </w:p>
    <w:p>
      <w:r>
        <w:t xml:space="preserve">(2) Die Eisenbahn-Betriebskrankenkasse Saarbrücken wird eine Bezirksleitung der Bundesbahn-Betriebskrankenkasse.</w:t>
      </w:r>
    </w:p>
    <w:p>
      <w:r>
        <w:rPr>
          <w:color w:val="555555"/>
          <w:sz w:val="17"/>
        </w:rPr>
        <w:t xml:space="preserve">Zitiervorschlag: § 3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