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Rechte und Pflichten aus den Versicherungsverhältnissen sowie das Vermögen (Eigentum und alle sonstigen Vermögensrechte) und die Verbindlichkeiten der Eisenbahn-Versicherungsanstalt Saarbrücken gehen auf die Bundesbahn-Versicherungsanstalt über.</w:t>
      </w:r>
    </w:p>
    <w:p>
      <w:r>
        <w:t xml:space="preserve">(2) § 5 Abs. 3 und § 6 gelten entsprechend.</w:t>
      </w:r>
    </w:p>
    <w:p>
      <w:r>
        <w:rPr>
          <w:color w:val="555555"/>
          <w:sz w:val="17"/>
        </w:rPr>
        <w:t xml:space="preserve">Zitiervorschlag: § 28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