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SVOrgSaarG</w:t>
      </w:r>
    </w:p>
    <w:p>
      <w:r>
        <w:rPr>
          <w:color w:val="555555"/>
          <w:sz w:val="18"/>
        </w:rPr>
        <w:t xml:space="preserve">Sozialversicherungs-Organisationsgesetz Saar</w:t>
      </w:r>
    </w:p>
    <w:p>
      <w:r>
        <w:rPr>
          <w:color w:val="555555"/>
          <w:sz w:val="18"/>
        </w:rPr>
        <w:t xml:space="preserve">Stand: 10.06.2019 (konsolidierte Textfassung, kein amtliches Inkrafttretensdatum)</w:t>
      </w:r>
    </w:p>
    <w:p>
      <w:r>
        <w:t xml:space="preserve">(1) Das Vermögen (Eigentum und alle sonstigen Vermögensrechte) und die Verbindlichkeiten der Landesversicherungsanstalt für das Saarland, die in der Abteilung Gemeindliche Unfallversicherung verwaltet werden, gehen auf den Gemeindeunfallversicherungsverband für das Saarland über.</w:t>
      </w:r>
    </w:p>
    <w:p>
      <w:r>
        <w:t xml:space="preserve">(2) Das Vermögen (Eigentum und alle sonstigen Vermögensrechte) und die Verbindlichkeiten der Bergbau-Berufsgenossenschaft für das Saarland gehen auf die Bergbau-Berufsgenossenschaft über.</w:t>
      </w:r>
    </w:p>
    <w:p>
      <w:r>
        <w:rPr>
          <w:color w:val="555555"/>
          <w:sz w:val="17"/>
        </w:rPr>
        <w:t xml:space="preserve">Zitiervorschlag: § 20 SVOrgSaarG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https://recht.nulegal.eu/gesetze/SVOrgSaarG/20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