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SVOrgSaarG</w:t>
      </w:r>
    </w:p>
    <w:p>
      <w:r>
        <w:rPr>
          <w:color w:val="555555"/>
          <w:sz w:val="18"/>
        </w:rPr>
        <w:t xml:space="preserve">Sozialversicherungs-Organisationsgesetz Saar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Zuständigkeit der für das gesamte Bundesgebiet außerhalb des Saarlandes bestehenden Berufsgenossenschaften erstreckt sich auf das Saarland.</w:t>
      </w:r>
    </w:p>
    <w:p>
      <w:r>
        <w:t xml:space="preserve">(2) Die Zuständigkeit der Süddeutschen Eisen- und Stahl-Berufsgenossenschaft für die in Hütten-, Walzwerks-, Eisen- und Stahlbetrieben tätigen Personen, der Südwestlichen Bau-Berufsgenossenschaft, der Süddeutschen Holz-Berufsgenossenschaft und der Süddeutschen Edel- und Unedelmetall-Berufsgenossenschaft wird auf das Saarland erstreckt.</w:t>
      </w:r>
    </w:p>
    <w:p>
      <w:r>
        <w:rPr>
          <w:color w:val="555555"/>
          <w:sz w:val="17"/>
        </w:rPr>
        <w:t xml:space="preserve">Zitiervorschlag: § 15 SVOrgSaarG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https://recht.nulegal.eu/gesetze/SVOrgSaarG/15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