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SVOrgSaarG</w:t>
      </w:r>
    </w:p>
    <w:p>
      <w:r>
        <w:rPr>
          <w:color w:val="555555"/>
          <w:sz w:val="18"/>
        </w:rPr>
        <w:t xml:space="preserve">Sozialversicherungs-Organisationsgesetz Saar</w:t>
      </w:r>
    </w:p>
    <w:p>
      <w:r>
        <w:rPr>
          <w:color w:val="555555"/>
          <w:sz w:val="18"/>
        </w:rPr>
        <w:t xml:space="preserve">Stand: 10.06.2019 (konsolidierte Textfassung, kein amtliches Inkrafttretensdatum)</w:t>
      </w:r>
    </w:p>
    <w:p>
      <w:r>
        <w:t xml:space="preserve">Die §§ 546 bis 548, 623 bis 629 Abs. 1, §§ 629a bis 634, 636, 642 bis 647, 649 bis 653, 656a bis 660, 663 bis 675, 677, 681, 684, 685, 689 bis 701, 703, 704, 713 bis 717, 721, 723, 843 bis 845, 847, 892 bis 896, 915 bis 922, 956 bis 960, 962 bis 965, 967 bis 972, 975, 978, 980 bis 985, 1029, 1033, 1046, 1047, 1050 bis 1058, 1060, 1065 bis 1066a, 1066c bis 1072, 1079, 1081 bis 1083, 1096 bis 1101, 1107 bis 1109, 1113, 1116 bis 1119, 1121 bis 1125, 1128 bis 1130, 1132 bis 1143, 1146 bis 1157, 1159 bis 1164, 1166 bis 1185, 1198, 1199, 1201, 1202, 1206 bis 1225 der Reichsversicherungsordnung sowie die zu ihrer Änderung, Ergänzung und Durchführung erlassenen Vorschriften gelten im Saarland. Soweit in ihnen auf andere Vorschriften verwiesen wird, die im Saarland in abweichender Fassung gelten, sind diese in der saarländischen Fassung anzuwenden.</w:t>
      </w:r>
    </w:p>
    <w:p>
      <w:r>
        <w:rPr>
          <w:color w:val="555555"/>
          <w:sz w:val="17"/>
        </w:rPr>
        <w:t xml:space="preserve">Zitiervorschlag: § 14 SVOrgSaarG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https://recht.nulegal.eu/gesetze/SVOrgSaarG/14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