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SVLFGGÜbV — Inkrafttreten</w:t>
      </w:r>
    </w:p>
    <w:p>
      <w:r>
        <w:rPr>
          <w:color w:val="555555"/>
          <w:sz w:val="18"/>
        </w:rPr>
        <w:t xml:space="preserve">SVLFGG-Übertragungsverordnung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2 SVLFGGÜbV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https://recht.nulegal.eu/gesetze/SVLFGG%C3%9CbV/2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