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SVLFGGÜbV — Übertragung der Verordnungsermächtigung</w:t>
      </w:r>
    </w:p>
    <w:p>
      <w:r>
        <w:rPr>
          <w:color w:val="555555"/>
          <w:sz w:val="18"/>
        </w:rPr>
        <w:t xml:space="preserve">SVLFGG-Übertragungsverordnung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Die in § 7 Absatz 2 Satz 1 des Gesetzes zur Errichtung der Sozialversicherung für Landwirtschaft, Forsten und Gartenbau enthaltene Ermächtigung zum Erlass einer Rechtsverordnung wird auf das Bundesamt für Soziale Sicherung übertragen.</w:t>
      </w:r>
    </w:p>
    <w:p>
      <w:r>
        <w:rPr>
          <w:color w:val="555555"/>
          <w:sz w:val="17"/>
        </w:rPr>
        <w:t xml:space="preserve">Zitiervorschlag: § 1 SVLFGGÜbV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https://recht.nulegal.eu/gesetze/SVLFGG%C3%9CbV/1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