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SVLFG-AltRückV</w:t>
      </w:r>
    </w:p>
    <w:p>
      <w:r>
        <w:rPr>
          <w:color w:val="555555"/>
          <w:sz w:val="18"/>
        </w:rPr>
        <w:t xml:space="preserve">SVLFG-Altersrückstellungsverordnung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Auf Grund des § 7 Absatz 2 des Gesetzes zur Errichtung der Sozialversicherung für Landwirtschaft, Forsten und Gartenbau, der durch Artikel 446 der Verordnung vom 31. August 2015 (BGBl. I S. 1474) geändert worden ist, in Verbindung mit § 1 der SVLFGG-Übertragungsverordnung vom 6. Oktober 2016 (BGBl. I S. 2216), verordnet das Bundesamt für Soziale Sicherung im Einvernehmen mit dem Bundesministerium für Ernährung und Landwirtschaft:</w:t>
      </w:r>
    </w:p>
    <w:p>
      <w:r>
        <w:rPr>
          <w:color w:val="555555"/>
          <w:sz w:val="17"/>
        </w:rPr>
        <w:t xml:space="preserve">Zitiervorschlag: Eingangsformel SVLFG-AltRückV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https://recht.nulegal.eu/gesetze/SVLFG-AltR%C3%BCckV/eingangsformel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