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SVLFG-AltRückV — Inkrafttreten</w:t>
      </w:r>
    </w:p>
    <w:p>
      <w:r>
        <w:rPr>
          <w:color w:val="555555"/>
          <w:sz w:val="18"/>
        </w:rPr>
        <w:t xml:space="preserve">SVLFG-Altersrückstellungsverordnung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SVLFG-AltRückV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https://recht.nulegal.eu/gesetze/SVLFG-AltR%C3%BCckV/5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